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D1" w:rsidRPr="003266D1" w:rsidRDefault="001D7060" w:rsidP="003266D1">
            <w:pPr>
              <w:pStyle w:val="a5"/>
              <w:ind w:firstLine="345"/>
              <w:jc w:val="right"/>
              <w:rPr>
                <w:color w:val="000000"/>
                <w:sz w:val="16"/>
                <w:szCs w:val="16"/>
              </w:rPr>
            </w:pPr>
            <w:r w:rsidRPr="008D1313">
              <w:rPr>
                <w:color w:val="000000"/>
                <w:sz w:val="16"/>
                <w:szCs w:val="16"/>
              </w:rPr>
              <w:t>Приложение №</w:t>
            </w:r>
            <w:r w:rsidR="00475DEF">
              <w:rPr>
                <w:color w:val="000000"/>
                <w:sz w:val="16"/>
                <w:szCs w:val="16"/>
              </w:rPr>
              <w:t>6</w:t>
            </w:r>
            <w:r w:rsidRPr="008D1313">
              <w:rPr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color w:val="000000"/>
                <w:sz w:val="16"/>
                <w:szCs w:val="16"/>
              </w:rPr>
              <w:br/>
            </w:r>
            <w:r w:rsidR="003266D1" w:rsidRPr="003266D1">
              <w:rPr>
                <w:color w:val="000000"/>
                <w:sz w:val="16"/>
                <w:szCs w:val="16"/>
              </w:rPr>
              <w:t xml:space="preserve"> от 24.03.2022  № 225</w:t>
            </w:r>
          </w:p>
          <w:p w:rsidR="001D7060" w:rsidRPr="003266D1" w:rsidRDefault="001D7060" w:rsidP="0047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6D4019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1 274 866,589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1 289 276,150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1 226 672,181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569 530,693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5 654 216,757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485 646,182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500 615,382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474 238,209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246 956,929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2 208 997,648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222 253,182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222 253,182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212 230,309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1 101 980,611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182 230,309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928 050,011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173 610,720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</w:t>
            </w: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259 983,000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260 857,900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260 857,900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1 064 064,300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63,153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63,153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56,417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242 769,900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243 644,800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243 644,800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977 091,600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86 972,700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3 410,000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17 504,300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42 952,737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3 260,000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17 354,300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36 151,237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662 523,468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669 978,491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633 717,694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213 865,722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2 848 842,972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«Организация предоставления общедоступного и бесплатного начального общего, основного общего и среднего общего образования муниципальными </w:t>
            </w: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605 808,500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613 204,561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575 840,564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158 338,522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2 568 350,444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449 895,900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453 103,600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453 103,600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1 815 241,200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50,409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50,768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67,796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90 328,600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90 328,600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81 520,764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435 814,736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23 287,300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30 556,161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117 565,680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39 216,200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39 216,200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39 216,200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195 456,200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«Доля педагогических работников  муниципальных образовательных организаций, получивших ежемесячное денежное вознаграждение за </w:t>
            </w: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7 074,400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6 971,100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36 239,126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10 881,600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4 831,600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4 728,300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25 357,526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48 605,364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48 663,752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49 870,252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47 487,300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240 186,068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44 360,644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44 419,032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45 625,532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43 171,300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219 809,308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16 523,000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780,120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780,120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780,120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3 853,760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1 035,778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1 035,778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1 035,778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4 067,334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3 623,400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, охваченных проектом, в общем количестве обучающихся».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103,578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103,578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103,578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443,934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94 718,098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93 756,591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93 790,592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469 646,167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93 990,065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93 028,558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93 062,559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465 615,768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образовательных организаций, подведомственных Управлению образования,  в которых созданы условия для реализации </w:t>
            </w: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74 105,831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74 056,324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74 090,325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368 948,866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595,500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5 117,636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78 843,441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796,399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«Реализация программы спортивной подготовки в учреждениях дополнительного образования Конаковского </w:t>
            </w: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11 690,568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13 026,326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61 055,508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59 672,514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30 966,000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28 706,514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973,688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1 382,994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973,688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1 382,994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18 752,515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5 828,540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64 739,574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18 752,515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5 828,540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64 739,574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2 890,415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20 940,734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1 874,146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8 200,000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1 596,000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3 024,000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27 975,300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1D7060"/>
    <w:rsid w:val="00205D06"/>
    <w:rsid w:val="003266D1"/>
    <w:rsid w:val="004038B9"/>
    <w:rsid w:val="004326DB"/>
    <w:rsid w:val="0045779E"/>
    <w:rsid w:val="00475DEF"/>
    <w:rsid w:val="005F3F8B"/>
    <w:rsid w:val="006307EF"/>
    <w:rsid w:val="006D4019"/>
    <w:rsid w:val="008D1313"/>
    <w:rsid w:val="009064B4"/>
    <w:rsid w:val="009700E9"/>
    <w:rsid w:val="0097170E"/>
    <w:rsid w:val="009A4656"/>
    <w:rsid w:val="00A92663"/>
    <w:rsid w:val="00AC2F2F"/>
    <w:rsid w:val="00BD619A"/>
    <w:rsid w:val="00C53189"/>
    <w:rsid w:val="00C80E14"/>
    <w:rsid w:val="00CC46D7"/>
    <w:rsid w:val="00CF113C"/>
    <w:rsid w:val="00D55BA0"/>
    <w:rsid w:val="00DE6F5E"/>
    <w:rsid w:val="00F06CE4"/>
    <w:rsid w:val="00F3611F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3266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Основной текст Знак"/>
    <w:basedOn w:val="a0"/>
    <w:link w:val="a5"/>
    <w:rsid w:val="003266D1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2022-03-10T05:06:00Z</dcterms:created>
  <dcterms:modified xsi:type="dcterms:W3CDTF">2022-03-30T09:28:00Z</dcterms:modified>
</cp:coreProperties>
</file>